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0" w:rsidRPr="003D462C" w:rsidRDefault="003D462C">
      <w:pPr>
        <w:ind w:left="1060"/>
        <w:rPr>
          <w:rFonts w:ascii="方正小标宋简体" w:eastAsia="方正小标宋简体"/>
          <w:sz w:val="20"/>
          <w:szCs w:val="20"/>
        </w:rPr>
      </w:pPr>
      <w:bookmarkStart w:id="0" w:name="page1"/>
      <w:bookmarkStart w:id="1" w:name="_GoBack"/>
      <w:bookmarkEnd w:id="0"/>
      <w:bookmarkEnd w:id="1"/>
      <w:r w:rsidRPr="003D462C">
        <w:rPr>
          <w:rFonts w:ascii="方正小标宋简体" w:eastAsia="方正小标宋简体" w:hAnsi="Times New Roman Bold" w:cs="Times New Roman Bold" w:hint="eastAsia"/>
          <w:b/>
          <w:bCs/>
          <w:color w:val="333333"/>
          <w:sz w:val="41"/>
          <w:szCs w:val="41"/>
        </w:rPr>
        <w:t>2023</w:t>
      </w:r>
      <w:r w:rsidRPr="003D462C">
        <w:rPr>
          <w:rFonts w:ascii="方正小标宋简体" w:eastAsia="方正小标宋简体" w:hAnsi="宋体" w:cs="宋体" w:hint="eastAsia"/>
          <w:b/>
          <w:bCs/>
          <w:color w:val="333333"/>
          <w:sz w:val="37"/>
          <w:szCs w:val="37"/>
        </w:rPr>
        <w:t>年社会工作者《中级综合能力》考前</w:t>
      </w:r>
      <w:r w:rsidRPr="003D462C">
        <w:rPr>
          <w:rFonts w:ascii="方正小标宋简体" w:eastAsia="方正小标宋简体" w:hAnsi="Times New Roman Bold" w:cs="Times New Roman Bold" w:hint="eastAsia"/>
          <w:b/>
          <w:bCs/>
          <w:color w:val="333333"/>
          <w:sz w:val="41"/>
          <w:szCs w:val="41"/>
        </w:rPr>
        <w:t>5</w:t>
      </w:r>
      <w:r w:rsidRPr="003D462C">
        <w:rPr>
          <w:rFonts w:ascii="方正小标宋简体" w:eastAsia="方正小标宋简体" w:hAnsi="宋体" w:cs="宋体" w:hint="eastAsia"/>
          <w:b/>
          <w:bCs/>
          <w:color w:val="333333"/>
          <w:sz w:val="37"/>
          <w:szCs w:val="37"/>
        </w:rPr>
        <w:t>页纸</w:t>
      </w:r>
    </w:p>
    <w:p w:rsidR="000B1740" w:rsidRDefault="000B1740">
      <w:pPr>
        <w:spacing w:line="197" w:lineRule="exact"/>
        <w:rPr>
          <w:sz w:val="24"/>
          <w:szCs w:val="24"/>
        </w:rPr>
      </w:pPr>
    </w:p>
    <w:p w:rsidR="000B1740" w:rsidRDefault="003D462C">
      <w:pPr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中级社会工作综合能力考前</w:t>
      </w: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20"/>
          <w:szCs w:val="20"/>
        </w:rPr>
        <w:t>页纸</w:t>
      </w:r>
    </w:p>
    <w:p w:rsidR="000B1740" w:rsidRDefault="000B1740">
      <w:pPr>
        <w:spacing w:line="74" w:lineRule="exact"/>
        <w:rPr>
          <w:sz w:val="24"/>
          <w:szCs w:val="24"/>
        </w:rPr>
      </w:pPr>
    </w:p>
    <w:p w:rsidR="000B1740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第一章 社会工作的内涵、原则及主要领域</w:t>
      </w:r>
    </w:p>
    <w:p w:rsidR="000B1740" w:rsidRDefault="000B1740">
      <w:pPr>
        <w:spacing w:line="97" w:lineRule="exact"/>
        <w:rPr>
          <w:sz w:val="24"/>
          <w:szCs w:val="24"/>
        </w:rPr>
      </w:pPr>
    </w:p>
    <w:p w:rsidR="003D462C" w:rsidRDefault="003D462C">
      <w:pPr>
        <w:spacing w:line="330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、社会工作的内涵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含义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利他主义价值观为指导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以科学的知识为基础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运用科学方法助人的职业化的服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务活动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我国对社会工作的理解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普通、行政性、专业社会工作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 </w:t>
      </w:r>
    </w:p>
    <w:p w:rsidR="003D462C" w:rsidRDefault="003D462C">
      <w:pPr>
        <w:spacing w:line="330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、社会工作的目标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服务对象层面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解救危难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缓解困难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激发潜能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促进发展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、社会层面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解决社会问题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进社会公正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、文化层面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弘扬人道主义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促进社会团结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>
      <w:pPr>
        <w:spacing w:line="330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社会工作的功能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服务对象的功能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促进服务对象正常生活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恢复弱化的功能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促进人的发展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促进人与社会环境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相互适应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、社会的功能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维持社会秩序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建构社会资本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促进社会和谐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>
      <w:pPr>
        <w:spacing w:line="330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、社会工作的要素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社会工作的对象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社会工作者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社会工作价值观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专业助人方法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助人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活动。 </w:t>
      </w:r>
    </w:p>
    <w:p w:rsidR="003D462C" w:rsidRDefault="003D462C">
      <w:pPr>
        <w:spacing w:line="330" w:lineRule="exact"/>
        <w:rPr>
          <w:rFonts w:ascii="MS PGothic" w:hAnsi="MS PGothic" w:cs="MS PGothic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、社会工作者角色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直接服务角色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服务提供者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治疗者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支持者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使能者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倡导者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关系协调者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、间接服务角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行政管理者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资源筹措者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政策影响者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研究者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、合并角色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直接</w:t>
      </w:r>
      <w:r>
        <w:rPr>
          <w:rFonts w:eastAsia="Times New Roman"/>
          <w:color w:val="333333"/>
          <w:sz w:val="21"/>
          <w:szCs w:val="21"/>
        </w:rPr>
        <w:t>+</w:t>
      </w:r>
      <w:r>
        <w:rPr>
          <w:rFonts w:ascii="宋体" w:eastAsia="宋体" w:hAnsi="宋体" w:cs="宋体"/>
          <w:color w:val="333333"/>
          <w:sz w:val="19"/>
          <w:szCs w:val="19"/>
        </w:rPr>
        <w:t>间接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</w:p>
    <w:p w:rsidR="003D462C" w:rsidRDefault="003D462C">
      <w:pPr>
        <w:spacing w:line="330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/>
          <w:color w:val="333333"/>
          <w:sz w:val="19"/>
          <w:szCs w:val="19"/>
        </w:rPr>
        <w:t xml:space="preserve"> </w:t>
      </w: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、社会工作者核心能力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  <w:sz w:val="21"/>
          <w:szCs w:val="21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沟通与建立关系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促进和使能的能力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评估和计划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提供服务和干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在组织中工作的能力。 </w:t>
      </w:r>
    </w:p>
    <w:p w:rsidR="000B1740" w:rsidRDefault="003D462C">
      <w:pPr>
        <w:spacing w:line="330" w:lineRule="exact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7</w:t>
      </w:r>
      <w:r>
        <w:rPr>
          <w:rFonts w:ascii="宋体" w:eastAsia="宋体" w:hAnsi="宋体" w:cs="宋体"/>
          <w:color w:val="333333"/>
          <w:sz w:val="19"/>
          <w:szCs w:val="19"/>
        </w:rPr>
        <w:t>、社会工作主要领域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儿童青少年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老年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妇女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残疾人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司法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优抚安置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社会救助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减贫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家庭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学校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医务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企业。 </w:t>
      </w:r>
      <w:r>
        <w:rPr>
          <w:rFonts w:eastAsia="Times New Roman"/>
          <w:color w:val="333333"/>
          <w:sz w:val="21"/>
          <w:szCs w:val="21"/>
        </w:rPr>
        <w:t>8</w:t>
      </w:r>
      <w:r>
        <w:rPr>
          <w:rFonts w:ascii="宋体" w:eastAsia="宋体" w:hAnsi="宋体" w:cs="宋体"/>
          <w:color w:val="333333"/>
          <w:sz w:val="19"/>
          <w:szCs w:val="19"/>
        </w:rPr>
        <w:t>、社会工作领域的扩展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困难人群到有需要人群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从关注社会问题到关注社会和谐发展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社会工作服务的新领域。</w:t>
      </w:r>
    </w:p>
    <w:p w:rsidR="000B1740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第二章 社会工作价值观与专业伦理</w:t>
      </w:r>
    </w:p>
    <w:p w:rsidR="000B1740" w:rsidRDefault="000B1740">
      <w:pPr>
        <w:spacing w:line="97" w:lineRule="exact"/>
        <w:rPr>
          <w:sz w:val="24"/>
          <w:szCs w:val="24"/>
        </w:rPr>
      </w:pPr>
    </w:p>
    <w:p w:rsidR="000B1740" w:rsidRDefault="003D462C">
      <w:pPr>
        <w:spacing w:line="279" w:lineRule="exact"/>
        <w:ind w:right="400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、社会工作价值观的操作原则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基本信念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尊重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独特性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相信人能改变。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实践原则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接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纳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不等于认同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）；②</w:t>
      </w:r>
      <w:r>
        <w:rPr>
          <w:rFonts w:ascii="宋体" w:eastAsia="宋体" w:hAnsi="宋体" w:cs="宋体"/>
          <w:color w:val="333333"/>
          <w:sz w:val="19"/>
          <w:szCs w:val="19"/>
        </w:rPr>
        <w:t>非评判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个别化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>保密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；⑤</w:t>
      </w:r>
      <w:r>
        <w:rPr>
          <w:rFonts w:ascii="宋体" w:eastAsia="宋体" w:hAnsi="宋体" w:cs="宋体"/>
          <w:color w:val="333333"/>
          <w:sz w:val="19"/>
          <w:szCs w:val="19"/>
        </w:rPr>
        <w:t>服务对象的自我决定。</w:t>
      </w:r>
    </w:p>
    <w:p w:rsidR="000B1740" w:rsidRDefault="000B1740">
      <w:pPr>
        <w:spacing w:line="97" w:lineRule="exact"/>
        <w:rPr>
          <w:sz w:val="24"/>
          <w:szCs w:val="24"/>
        </w:rPr>
      </w:pPr>
    </w:p>
    <w:p w:rsidR="000B1740" w:rsidRDefault="003D462C">
      <w:pPr>
        <w:rPr>
          <w:sz w:val="20"/>
          <w:szCs w:val="20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、社会工作专业伦理</w:t>
      </w:r>
    </w:p>
    <w:p w:rsidR="000B1740" w:rsidRDefault="003D462C">
      <w:pPr>
        <w:spacing w:line="29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135890</wp:posOffset>
            </wp:positionV>
            <wp:extent cx="6306185" cy="1967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740" w:rsidRDefault="003D462C">
      <w:pPr>
        <w:spacing w:line="252" w:lineRule="exact"/>
        <w:ind w:left="1920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、基本原则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服务对象为本、专业价值高于个人价值、坚持专业的权威性。</w:t>
      </w:r>
    </w:p>
    <w:p w:rsidR="000B1740" w:rsidRDefault="003D462C">
      <w:pPr>
        <w:spacing w:line="182" w:lineRule="auto"/>
        <w:ind w:left="8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19"/>
          <w:szCs w:val="19"/>
        </w:rPr>
        <w:t>专业伦理</w:t>
      </w:r>
    </w:p>
    <w:p w:rsidR="000B1740" w:rsidRDefault="003D462C">
      <w:pPr>
        <w:spacing w:line="164" w:lineRule="exact"/>
        <w:ind w:left="1920"/>
        <w:rPr>
          <w:sz w:val="20"/>
          <w:szCs w:val="20"/>
        </w:rPr>
      </w:pPr>
      <w:r>
        <w:rPr>
          <w:rFonts w:eastAsia="Times New Roman"/>
          <w:color w:val="333333"/>
          <w:sz w:val="19"/>
          <w:szCs w:val="19"/>
        </w:rPr>
        <w:t>2</w:t>
      </w:r>
      <w:r>
        <w:rPr>
          <w:rFonts w:ascii="宋体" w:eastAsia="宋体" w:hAnsi="宋体" w:cs="宋体"/>
          <w:color w:val="333333"/>
          <w:sz w:val="16"/>
          <w:szCs w:val="16"/>
        </w:rPr>
        <w:t>、基本内容</w:t>
      </w:r>
      <w:r>
        <w:rPr>
          <w:rFonts w:ascii="MS PGothic" w:eastAsia="MS PGothic" w:hAnsi="MS PGothic" w:cs="MS PGothic"/>
          <w:color w:val="333333"/>
          <w:sz w:val="16"/>
          <w:szCs w:val="16"/>
        </w:rPr>
        <w:t>；</w:t>
      </w:r>
      <w:r>
        <w:rPr>
          <w:rFonts w:ascii="宋体" w:eastAsia="宋体" w:hAnsi="宋体" w:cs="宋体"/>
          <w:color w:val="333333"/>
          <w:sz w:val="16"/>
          <w:szCs w:val="16"/>
        </w:rPr>
        <w:t>对服务对象、对同事、对服务机构、作为专业人员、对社会工作专业、对全</w:t>
      </w:r>
    </w:p>
    <w:p w:rsidR="000B1740" w:rsidRDefault="003D462C">
      <w:pPr>
        <w:spacing w:line="181" w:lineRule="auto"/>
        <w:ind w:left="8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19"/>
          <w:szCs w:val="19"/>
        </w:rPr>
        <w:t>主要内容</w:t>
      </w:r>
    </w:p>
    <w:p w:rsidR="000B1740" w:rsidRDefault="003D462C">
      <w:pPr>
        <w:spacing w:line="205" w:lineRule="auto"/>
        <w:ind w:left="192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社会的伦理责任。</w:t>
      </w:r>
    </w:p>
    <w:p w:rsidR="000B1740" w:rsidRDefault="000B1740">
      <w:pPr>
        <w:spacing w:line="296" w:lineRule="exact"/>
        <w:rPr>
          <w:sz w:val="24"/>
          <w:szCs w:val="24"/>
        </w:rPr>
      </w:pPr>
    </w:p>
    <w:p w:rsidR="000B1740" w:rsidRDefault="003D462C">
      <w:pPr>
        <w:tabs>
          <w:tab w:val="left" w:pos="1900"/>
        </w:tabs>
        <w:spacing w:line="228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伦理议题内容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color w:val="333333"/>
          <w:sz w:val="20"/>
          <w:szCs w:val="20"/>
        </w:rPr>
        <w:t>服务对象自决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保密议题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双重关系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知情同意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多元文化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专业能力</w:t>
      </w:r>
    </w:p>
    <w:p w:rsidR="000B1740" w:rsidRDefault="000B1740">
      <w:pPr>
        <w:spacing w:line="296" w:lineRule="exact"/>
        <w:rPr>
          <w:sz w:val="24"/>
          <w:szCs w:val="24"/>
        </w:rPr>
      </w:pPr>
    </w:p>
    <w:p w:rsidR="000B1740" w:rsidRDefault="003D462C">
      <w:pPr>
        <w:tabs>
          <w:tab w:val="left" w:pos="1900"/>
        </w:tabs>
        <w:spacing w:line="228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伦理决定价值观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color w:val="333333"/>
          <w:sz w:val="20"/>
          <w:szCs w:val="20"/>
        </w:rPr>
        <w:t>尊重受助者的尊严和独特性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努力促成受助者的自我决定。</w:t>
      </w:r>
    </w:p>
    <w:p w:rsidR="000B1740" w:rsidRDefault="000B1740">
      <w:pPr>
        <w:spacing w:line="265" w:lineRule="exact"/>
        <w:rPr>
          <w:sz w:val="24"/>
          <w:szCs w:val="24"/>
        </w:rPr>
      </w:pPr>
    </w:p>
    <w:p w:rsidR="000B1740" w:rsidRDefault="003D462C">
      <w:pPr>
        <w:spacing w:line="228" w:lineRule="exact"/>
        <w:ind w:left="192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基本处理原则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：</w:t>
      </w:r>
      <w:r>
        <w:rPr>
          <w:rFonts w:ascii="宋体" w:eastAsia="宋体" w:hAnsi="宋体" w:cs="宋体"/>
          <w:color w:val="333333"/>
          <w:sz w:val="20"/>
          <w:szCs w:val="20"/>
        </w:rPr>
        <w:t>保护生命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差别平等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自由自主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最小伤害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生命质量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隐私保密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ascii="宋体" w:eastAsia="宋体" w:hAnsi="宋体" w:cs="宋体"/>
          <w:color w:val="333333"/>
          <w:sz w:val="20"/>
          <w:szCs w:val="20"/>
        </w:rPr>
        <w:t>真诚原</w:t>
      </w:r>
    </w:p>
    <w:p w:rsidR="000B1740" w:rsidRDefault="003D462C">
      <w:pPr>
        <w:spacing w:line="181" w:lineRule="auto"/>
        <w:ind w:left="8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19"/>
          <w:szCs w:val="19"/>
        </w:rPr>
        <w:t>伦理难题处理</w:t>
      </w:r>
    </w:p>
    <w:p w:rsidR="000B1740" w:rsidRDefault="003D462C">
      <w:pPr>
        <w:spacing w:line="229" w:lineRule="exact"/>
        <w:ind w:left="192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则。</w:t>
      </w: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注意</w:t>
      </w:r>
      <w:r>
        <w:rPr>
          <w:rFonts w:ascii="MS PGothic" w:eastAsia="MS PGothic" w:hAnsi="MS PGothic" w:cs="MS PGothic"/>
          <w:b/>
          <w:bCs/>
          <w:color w:val="333333"/>
          <w:sz w:val="20"/>
          <w:szCs w:val="20"/>
        </w:rPr>
        <w:t>：</w:t>
      </w:r>
      <w:r>
        <w:rPr>
          <w:rFonts w:ascii="宋体" w:eastAsia="宋体" w:hAnsi="宋体" w:cs="宋体"/>
          <w:color w:val="333333"/>
          <w:sz w:val="20"/>
          <w:szCs w:val="20"/>
        </w:rPr>
        <w:t>一般处理步骤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（</w:t>
      </w:r>
      <w:r>
        <w:rPr>
          <w:rFonts w:eastAsia="Times New Roman"/>
          <w:color w:val="333333"/>
          <w:sz w:val="21"/>
          <w:szCs w:val="21"/>
        </w:rPr>
        <w:t>7</w:t>
      </w:r>
      <w:r>
        <w:rPr>
          <w:rFonts w:ascii="宋体" w:eastAsia="宋体" w:hAnsi="宋体" w:cs="宋体"/>
          <w:color w:val="333333"/>
          <w:sz w:val="20"/>
          <w:szCs w:val="20"/>
        </w:rPr>
        <w:t>个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）</w:t>
      </w:r>
    </w:p>
    <w:p w:rsidR="000B1740" w:rsidRDefault="000B1740">
      <w:pPr>
        <w:spacing w:line="336" w:lineRule="exact"/>
        <w:rPr>
          <w:sz w:val="24"/>
          <w:szCs w:val="24"/>
        </w:rPr>
      </w:pPr>
    </w:p>
    <w:p w:rsidR="000B1740" w:rsidRDefault="003D462C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、伦理守则的基本内容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服务、社会正义、人的尊严和价值、人际关系的重要性、正直、能力。</w:t>
      </w:r>
    </w:p>
    <w:p w:rsidR="000B1740" w:rsidRDefault="000B1740">
      <w:pPr>
        <w:spacing w:line="74" w:lineRule="exact"/>
        <w:rPr>
          <w:sz w:val="24"/>
          <w:szCs w:val="24"/>
        </w:rPr>
      </w:pPr>
    </w:p>
    <w:p w:rsidR="000B1740" w:rsidRDefault="003D462C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、伦理守则的国际惯例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社会工作者的态度和行为、对受助对象、同事、专业、机构、社会的伦理。</w:t>
      </w:r>
    </w:p>
    <w:p w:rsidR="000B1740" w:rsidRDefault="000B1740">
      <w:pPr>
        <w:spacing w:line="77" w:lineRule="exact"/>
        <w:rPr>
          <w:sz w:val="24"/>
          <w:szCs w:val="24"/>
        </w:rPr>
      </w:pPr>
    </w:p>
    <w:p w:rsidR="000B1740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第三章 人类行为与社会环境</w:t>
      </w:r>
    </w:p>
    <w:p w:rsidR="000B1740" w:rsidRDefault="000B1740">
      <w:pPr>
        <w:spacing w:line="97" w:lineRule="exact"/>
        <w:rPr>
          <w:sz w:val="24"/>
          <w:szCs w:val="24"/>
        </w:rPr>
      </w:pPr>
    </w:p>
    <w:p w:rsidR="003D462C" w:rsidRDefault="003D462C">
      <w:pPr>
        <w:spacing w:line="327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、人类需要层次和类型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马斯洛需要层次理论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生理需要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安全需要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归属与爱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尊重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自我实现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</w:rPr>
        <w:t>ERG</w:t>
      </w:r>
      <w:r>
        <w:rPr>
          <w:rFonts w:ascii="宋体" w:eastAsia="宋体" w:hAnsi="宋体" w:cs="宋体"/>
          <w:color w:val="333333"/>
          <w:sz w:val="19"/>
          <w:szCs w:val="19"/>
        </w:rPr>
        <w:t>理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存在需要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关系需要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成长需要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多亚尔和高夫需要理论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基本需要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中介需要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>
      <w:pPr>
        <w:spacing w:line="327" w:lineRule="exact"/>
        <w:rPr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、人类行为类型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本能行为和习得行为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亲社会行为和反社会行为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正常行为和偏差行为。</w:t>
      </w: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3D462C" w:rsidRDefault="003D462C">
      <w:pPr>
        <w:spacing w:line="327" w:lineRule="exact"/>
        <w:rPr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、社会环境的构成要素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家庭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教养模式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功能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、同辈群体、学校、工作单位、社区、文化、大众传媒。</w:t>
      </w: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3D462C" w:rsidRDefault="003D462C">
      <w:pPr>
        <w:spacing w:line="327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、理论基础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弗洛伊德精神分析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埃里克森人类发展阶段论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皮亚杰认知发展理论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科尔伯格道德发展阶段论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行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为主义理论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依恋理论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符号互动论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标签理论。 </w:t>
      </w:r>
    </w:p>
    <w:p w:rsidR="000B1740" w:rsidRDefault="003D462C" w:rsidP="003D462C">
      <w:pPr>
        <w:spacing w:line="327" w:lineRule="exact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、人生发展阶段及其主要特征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婴幼儿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哺乳问题、母爱剥夺、弃婴问题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学龄前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挑食偏食、攻击行为、电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视依赖、自闭症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学龄阶段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儿童意外伤害、校园欺凌、儿童性伤害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>青少年阶段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网络成瘾、青少年犯罪、 青少年性行为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；⑤</w:t>
      </w:r>
      <w:r>
        <w:rPr>
          <w:rFonts w:ascii="宋体" w:eastAsia="宋体" w:hAnsi="宋体" w:cs="宋体"/>
          <w:color w:val="333333"/>
          <w:sz w:val="19"/>
          <w:szCs w:val="19"/>
        </w:rPr>
        <w:t>青年阶段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婚恋问题、性别歧视、就业问题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；⑥</w:t>
      </w:r>
      <w:r>
        <w:rPr>
          <w:rFonts w:ascii="宋体" w:eastAsia="宋体" w:hAnsi="宋体" w:cs="宋体"/>
          <w:color w:val="333333"/>
          <w:sz w:val="19"/>
          <w:szCs w:val="19"/>
        </w:rPr>
        <w:t>中年阶段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早衰、更年期、婚外恋、家庭暴力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⑦</w:t>
      </w:r>
      <w:r>
        <w:rPr>
          <w:rFonts w:ascii="宋体" w:eastAsia="宋体" w:hAnsi="宋体" w:cs="宋体"/>
          <w:color w:val="333333"/>
          <w:sz w:val="19"/>
          <w:szCs w:val="19"/>
        </w:rPr>
        <w:t>老年阶段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失智和失能、精神健康问题、死亡、被歧视被虐待。</w:t>
      </w:r>
    </w:p>
    <w:p w:rsidR="003D462C" w:rsidRDefault="003D462C" w:rsidP="003D462C">
      <w:pPr>
        <w:spacing w:line="327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lastRenderedPageBreak/>
        <w:t>第四章 社会工作理论</w:t>
      </w:r>
    </w:p>
    <w:p w:rsidR="003D462C" w:rsidRDefault="003D462C" w:rsidP="003D462C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500"/>
        <w:gridCol w:w="4520"/>
        <w:gridCol w:w="30"/>
      </w:tblGrid>
      <w:tr w:rsidR="003D462C" w:rsidTr="00BE48D8">
        <w:trPr>
          <w:trHeight w:val="364"/>
        </w:trPr>
        <w:tc>
          <w:tcPr>
            <w:tcW w:w="92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  <w:t>主要理</w:t>
            </w:r>
          </w:p>
        </w:tc>
        <w:tc>
          <w:tcPr>
            <w:tcW w:w="450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  <w:t>主要观点</w:t>
            </w:r>
          </w:p>
        </w:tc>
        <w:tc>
          <w:tcPr>
            <w:tcW w:w="452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  <w:t>实务应用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  <w:t>论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原则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个别化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签订治疗契约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提供安全与支持的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精神分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意识层次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人格结构理论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焦虑与防卫机制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性心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环境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基本方法是自由联想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倾听、理解服务对象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析取向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理发展。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想法。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治疗过程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治疗情境、关系和治疗性对话。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认知行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原则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界定问题、确定目标、辅导过程。应用过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艾利斯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“ABC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情绪理论框架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助人过程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确定评估重点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专业关系的建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98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为理论</w:t>
            </w: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30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社会工作者的角色及任务。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系统理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原则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问题多方面、个体与环境互动、互动关系是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结构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过程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行动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机能</w:t>
            </w: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动态的、提供帮助针对整体系统。应用过程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专业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论</w:t>
            </w: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关系界定、服务目标、专业人员的角色。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原则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实践一致性、情境的重要性、积极视角、辨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生态系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w w:val="99"/>
                <w:sz w:val="20"/>
                <w:szCs w:val="20"/>
              </w:rPr>
              <w:t>生命周期、人际关联、胜任能力、角色表现、生态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识行为模式、重视过程、强调与他人一起工作。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统理论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地位、适应力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注意事项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社会环境为问题重要因素、着眼点在不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同系统、关系是动态的、从整个生态系统出发。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强调人的内在价值和能力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人们负有责任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个人具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人本主</w:t>
            </w: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相信人的理性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具有理性的人可以自主选择行动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有归属与被包容的权利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具有参与和被聆听的权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义</w:t>
            </w: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利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自由表达的权利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差别得到尊重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具有质疑和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挑战专业人员权利。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理念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觉醒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痛苦是生命的一部分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选择的自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存在主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核心是个人的存在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个人具有选择的自由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选择和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由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对话的必要性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实行。应用重点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强调个人生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义</w:t>
            </w: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行动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强调个人自由与责任。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命的意义、内在价值、个人痛苦的经历都是有意义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的。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76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个人无力感环境压迫产生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环境中存在障碍无法实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服务目标</w:t>
            </w:r>
            <w:r>
              <w:rPr>
                <w:rFonts w:eastAsia="Times New Roman"/>
                <w:color w:val="33333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个方面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服务原则</w:t>
            </w:r>
            <w:r>
              <w:rPr>
                <w:rFonts w:eastAsia="Times New Roman"/>
                <w:color w:val="333333"/>
                <w:sz w:val="21"/>
                <w:szCs w:val="21"/>
              </w:rPr>
              <w:t>10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条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干预的三个层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30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增强权</w:t>
            </w: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面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建立合作关系、教授技巧知识、集体行动。平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01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现权能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缺乏权能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受助人有能力、价值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合作性</w:t>
            </w: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95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能理论</w:t>
            </w: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伙伴关系。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等伙伴关系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社会工作者应避免以权威的姿态出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59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现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建立伙伴关系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分享可以获得能力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对话。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优势视</w:t>
            </w: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优势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增强权能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成员资格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抗逆力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治愈和整</w:t>
            </w:r>
          </w:p>
        </w:tc>
        <w:tc>
          <w:tcPr>
            <w:tcW w:w="4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个人、团体、家庭和社区都是有优势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创伤、痛苦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可能是机遇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与服务对象合作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所有环境充满资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角理论</w:t>
            </w:r>
          </w:p>
        </w:tc>
        <w:tc>
          <w:tcPr>
            <w:tcW w:w="450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合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对话与合作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悬置怀疑</w:t>
            </w: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源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专业关系。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9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9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</w:tbl>
    <w:p w:rsidR="003D462C" w:rsidRDefault="003D462C" w:rsidP="003D462C">
      <w:pPr>
        <w:spacing w:line="191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第五章 个案工作方法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327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、个案工作主要模式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心理社会治疗模式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直接治疗技巧、间接治疗技巧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、认知行为治疗模式、理性情绪治疗模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式、任务中心治疗模式、危机介入治疗模式、人本治疗模式、家庭治疗模式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结构式、萨提亚家庭治疗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 w:rsidP="003D462C">
      <w:pPr>
        <w:spacing w:line="327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、个案工作各阶段的工作要求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申请与接案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预估与问题分析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制定计划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开展服务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链接社会资源与协调服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评估与结案。 </w:t>
      </w:r>
    </w:p>
    <w:p w:rsidR="003D462C" w:rsidRDefault="003D462C" w:rsidP="003D462C">
      <w:pPr>
        <w:spacing w:line="327" w:lineRule="exact"/>
        <w:ind w:right="2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、个案常用技巧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  <w:sz w:val="21"/>
          <w:szCs w:val="21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会谈技巧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支持性技巧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专注、倾听、同理心、鼓励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引领性的技巧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澄清、对焦、摘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影响性技巧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提供信息、自我披露、建议、忠告、对质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评估类型选择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效果评估、过程评 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评估方法运用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问卷评估、行为评估、心理测量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鼓励服务对象参与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坦诚与保密。</w:t>
      </w:r>
    </w:p>
    <w:p w:rsidR="003D462C" w:rsidRDefault="003D462C" w:rsidP="003D462C">
      <w:pPr>
        <w:spacing w:line="327" w:lineRule="exact"/>
        <w:ind w:right="20"/>
        <w:rPr>
          <w:sz w:val="20"/>
          <w:szCs w:val="20"/>
        </w:rPr>
      </w:pPr>
    </w:p>
    <w:p w:rsidR="003D462C" w:rsidRDefault="003D462C" w:rsidP="003D462C">
      <w:pPr>
        <w:spacing w:line="329" w:lineRule="exact"/>
        <w:rPr>
          <w:sz w:val="20"/>
          <w:szCs w:val="20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、个案管理的实施原则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服务对象的参与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服务评估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核心工作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）；③</w:t>
      </w:r>
      <w:r>
        <w:rPr>
          <w:rFonts w:ascii="宋体" w:eastAsia="宋体" w:hAnsi="宋体" w:cs="宋体"/>
          <w:color w:val="333333"/>
          <w:sz w:val="19"/>
          <w:szCs w:val="19"/>
        </w:rPr>
        <w:t>服务的协调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管理者注重协调能力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全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人服务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>资源整合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多方资源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；⑤</w:t>
      </w:r>
      <w:r>
        <w:rPr>
          <w:rFonts w:ascii="宋体" w:eastAsia="宋体" w:hAnsi="宋体" w:cs="宋体"/>
          <w:color w:val="333333"/>
          <w:sz w:val="19"/>
          <w:szCs w:val="19"/>
        </w:rPr>
        <w:t>包裹式服务与专业合作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；⑥</w:t>
      </w:r>
      <w:r>
        <w:rPr>
          <w:rFonts w:ascii="宋体" w:eastAsia="宋体" w:hAnsi="宋体" w:cs="宋体"/>
          <w:color w:val="333333"/>
          <w:sz w:val="19"/>
          <w:szCs w:val="19"/>
        </w:rPr>
        <w:t>评估与监督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确保服务对象认可的标准。 </w:t>
      </w: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、个案管理的工作过程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个案发掘与转介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转介、外展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评估与选择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对问题进行界定和测评过程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个案计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划与执行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包裹式服务包括了治疗计划和服务计划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>监督和评估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是否符合需要、是否满意、是否实现目 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；⑤</w:t>
      </w:r>
      <w:r>
        <w:rPr>
          <w:rFonts w:ascii="宋体" w:eastAsia="宋体" w:hAnsi="宋体" w:cs="宋体"/>
          <w:color w:val="333333"/>
          <w:sz w:val="19"/>
          <w:szCs w:val="19"/>
        </w:rPr>
        <w:t>结案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结案的处理。</w:t>
      </w:r>
    </w:p>
    <w:p w:rsidR="003D462C" w:rsidRDefault="003D462C" w:rsidP="003D462C">
      <w:pPr>
        <w:spacing w:line="322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第六章 小组工作方法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334" w:lineRule="exact"/>
        <w:rPr>
          <w:color w:val="333333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、小组的类型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教育小组、成长小组、支持小组、治疗小组。</w:t>
      </w:r>
    </w:p>
    <w:p w:rsidR="003D462C" w:rsidRDefault="003D462C" w:rsidP="003D462C">
      <w:pPr>
        <w:spacing w:line="334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、小组工作理论基础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场域理论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行为环境论、生活空间、此时此地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小组动力学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小组特性、小组内聚与分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裂、小组行为随成员改变而改变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符合互动论镜中自我理论。 </w:t>
      </w:r>
    </w:p>
    <w:p w:rsidR="003D462C" w:rsidRPr="003D462C" w:rsidRDefault="003D462C" w:rsidP="003D462C">
      <w:pPr>
        <w:spacing w:line="334" w:lineRule="exact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、小组的特点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小组组员问题的共同性或相似性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强调小组组员的民主参与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运用小组治疗性因素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注重团体的动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力。</w:t>
      </w:r>
    </w:p>
    <w:p w:rsidR="003D462C" w:rsidRDefault="003D462C" w:rsidP="003D462C">
      <w:pPr>
        <w:spacing w:line="328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、小组工作模式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社会目标模式、治疗模式、互动模式、发展模式。</w:t>
      </w:r>
    </w:p>
    <w:p w:rsidR="003D462C" w:rsidRDefault="003D462C" w:rsidP="003D462C">
      <w:pPr>
        <w:spacing w:line="328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 xml:space="preserve"> 5</w:t>
      </w:r>
      <w:r>
        <w:rPr>
          <w:rFonts w:ascii="宋体" w:eastAsia="宋体" w:hAnsi="宋体" w:cs="宋体"/>
          <w:color w:val="333333"/>
          <w:sz w:val="19"/>
          <w:szCs w:val="19"/>
        </w:rPr>
        <w:t>、小组工作的过程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准备阶段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招募与遴选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制定工作目标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工作计划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申报并协调资源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小组的规模与工作时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活动场地及设施的选择和安排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开始阶段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消除陌生感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明确小组的期望与认识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讨论保密原则和建立契 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制定小组规范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塑造信任的小组氛围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形成相对稳定的小组关系结构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转折阶段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处理抗拒行为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协调和处 理冲突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保持组员对整体目标的意识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协助组员重新建构小组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适当控制小组的进程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成熟阶段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维持良好的互 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获得新的认知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把认知转变为行动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解决有关问题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结束阶段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处理组员的离别情绪与感受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协助组员保持 小组经验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做好小组评估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 w:rsidP="003D462C">
      <w:pPr>
        <w:spacing w:line="328" w:lineRule="exact"/>
        <w:ind w:right="10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、小组工作技巧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沟通与互动的技巧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与组员沟通、促进组员沟通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小组讨论的技巧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事前准备、主持小组讨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小组介入的技巧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对小组组员的介入技巧、对小组整体的介入技巧、改变小组外部环境的介入技巧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小组 活动设计技巧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紧扣小组目标、考虑组员的特征及能力、小组活动的基本要素、经验分享环节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小组评估技巧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评估类型、流程、评估资料的收集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3D462C" w:rsidRPr="003D462C" w:rsidRDefault="003D462C" w:rsidP="003D462C">
      <w:pPr>
        <w:spacing w:line="248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第七章 社区工作方法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329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、社区工作的特点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分析问题的视角更为结构取向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介入问题的层面更为宏观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具有一定的政治性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富有批判和反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思精神。 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、社区工作的目标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任务目标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ascii="宋体" w:eastAsia="宋体" w:hAnsi="宋体" w:cs="宋体"/>
          <w:color w:val="333333"/>
          <w:sz w:val="19"/>
          <w:szCs w:val="19"/>
        </w:rPr>
        <w:t>安置无家可归者、照顾贫穷残障人士等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过程目标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ascii="宋体" w:eastAsia="宋体" w:hAnsi="宋体" w:cs="宋体"/>
          <w:color w:val="333333"/>
          <w:sz w:val="19"/>
          <w:szCs w:val="19"/>
        </w:rPr>
        <w:t>社区居民能力、发展培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育社区领袖等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 w:rsidP="003D462C">
      <w:pPr>
        <w:spacing w:line="329" w:lineRule="exact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、社区工作的主要模式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实施策略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）：</w:t>
      </w:r>
      <w:r>
        <w:rPr>
          <w:rFonts w:ascii="宋体" w:eastAsia="宋体" w:hAnsi="宋体" w:cs="宋体"/>
          <w:color w:val="333333"/>
          <w:sz w:val="19"/>
          <w:szCs w:val="19"/>
        </w:rPr>
        <w:t>地区发展模式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促进居民之间的交流、团结邻里、社区教育、提供服务和发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展资源、社区参与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社会策划模式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明确组织的使命和目标、分析环境和形势、客观地认识自身的能力、界定和 分析问题、确定需要评估需要的主要方法、建立目标和达成目标的标准、列出、比较并选择可行性方案、测试方 案、执行方案、评估结果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社区照顾模式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在社区照顾、由社区照顾、对社区照顾、整合式社区照顾、为家庭照 顾者提供服务、社区倡导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、社区工作各阶段的工作重点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进入社区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积极参与社区重要活动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主办社区活动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积极介入社区事务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经常出现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在居民之中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报道社区活动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认识社区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社区基本情况分析、社区问题分析、社区需要分析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培育社区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招收 成员、订立组织规则、推选领导者、建立工作小组、筹措经费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制定社区计划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明确目标、制定策略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实施工 作计划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资源分析、开发、连接、维系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社区工作评估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过程评估、成果评估、效益评估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 w:rsidP="003D462C">
      <w:pPr>
        <w:spacing w:line="329" w:lineRule="exact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、社区工作的技巧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建立和发展社区关系的技巧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发展社区支持网络的技巧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社区教育技巧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动员群众的技巧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运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用传播媒介的技巧。</w:t>
      </w:r>
    </w:p>
    <w:p w:rsidR="003D462C" w:rsidRDefault="003D462C" w:rsidP="003D462C">
      <w:pPr>
        <w:spacing w:line="293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第八章 社会工作行政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295" w:lineRule="exact"/>
        <w:jc w:val="both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、社会服务方案策划的步骤和方法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问题的认识和分析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问题认识工作表、分支法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需求评估。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目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标制定阶段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界定总目标和影响性目标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建立目标的优先次序。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方案安排阶段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制定各种可行性方案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选 择理想的可行方案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决定资源需求和争取资源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>制定行动计划。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336" w:lineRule="exact"/>
        <w:ind w:right="200"/>
        <w:rPr>
          <w:color w:val="333333"/>
        </w:rPr>
      </w:pP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4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考虑服务评估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过程评估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任务完成、资源使用等情况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效果评估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方案实施后产生的效果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  <w:r>
        <w:rPr>
          <w:rFonts w:eastAsia="Times New Roman"/>
          <w:color w:val="333333"/>
        </w:rPr>
        <w:t xml:space="preserve"> </w:t>
      </w:r>
    </w:p>
    <w:p w:rsidR="003D462C" w:rsidRDefault="003D462C" w:rsidP="003D462C">
      <w:pPr>
        <w:spacing w:line="336" w:lineRule="exact"/>
        <w:ind w:right="200"/>
        <w:rPr>
          <w:color w:val="333333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、我国社会服务机构的类型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政府、群团组织、社会公益类事业单位、社会服务类民间组织。</w:t>
      </w:r>
      <w:r>
        <w:rPr>
          <w:rFonts w:eastAsia="Times New Roman"/>
          <w:color w:val="333333"/>
        </w:rPr>
        <w:t xml:space="preserve"> </w:t>
      </w:r>
    </w:p>
    <w:p w:rsidR="003D462C" w:rsidRDefault="003D462C" w:rsidP="003D462C">
      <w:pPr>
        <w:spacing w:line="336" w:lineRule="exact"/>
        <w:ind w:right="200"/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、机构的组织结构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一般组织结构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直线式、职能式、直线参谋式组织结构。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②</w:t>
      </w:r>
      <w:r>
        <w:rPr>
          <w:rFonts w:ascii="宋体" w:eastAsia="宋体" w:hAnsi="宋体" w:cs="宋体"/>
          <w:color w:val="333333"/>
          <w:sz w:val="19"/>
          <w:szCs w:val="19"/>
        </w:rPr>
        <w:t>团队组织结构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问题解决型团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跨专业团队 </w:t>
      </w: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、社会服务机构的领导方式的类型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专制型、民主型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参与型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、放任型</w:t>
      </w:r>
    </w:p>
    <w:p w:rsidR="003D462C" w:rsidRDefault="003D462C" w:rsidP="003D462C">
      <w:pPr>
        <w:sectPr w:rsidR="003D462C">
          <w:pgSz w:w="11900" w:h="16840"/>
          <w:pgMar w:top="594" w:right="1000" w:bottom="875" w:left="980" w:header="0" w:footer="0" w:gutter="0"/>
          <w:cols w:space="720" w:equalWidth="0">
            <w:col w:w="9920"/>
          </w:cols>
        </w:sectPr>
      </w:pPr>
    </w:p>
    <w:p w:rsidR="003D462C" w:rsidRDefault="003D462C" w:rsidP="003D462C">
      <w:pPr>
        <w:spacing w:line="329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bookmarkStart w:id="2" w:name="page4"/>
      <w:bookmarkEnd w:id="2"/>
      <w:r>
        <w:rPr>
          <w:rFonts w:eastAsia="Times New Roman"/>
          <w:color w:val="333333"/>
        </w:rPr>
        <w:lastRenderedPageBreak/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、社会服务机构的激励措施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了解员工的个别差异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根据个人特点分配任务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用目标引导员工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增进其对工作的兴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提供员工参与决策的机会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协助员工制定职业生涯发展计划。 </w:t>
      </w:r>
    </w:p>
    <w:p w:rsidR="003D462C" w:rsidRDefault="003D462C" w:rsidP="003D462C">
      <w:pPr>
        <w:spacing w:line="329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、社会服务机构人力资源管理的内容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任用、训练与发展、绩效评估与激励、报酬管理、员工关系与维持</w:t>
      </w:r>
    </w:p>
    <w:p w:rsidR="003D462C" w:rsidRDefault="003D462C" w:rsidP="003D462C">
      <w:pPr>
        <w:spacing w:line="329" w:lineRule="exact"/>
        <w:ind w:right="20"/>
        <w:rPr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 xml:space="preserve"> 7</w:t>
      </w:r>
      <w:r>
        <w:rPr>
          <w:rFonts w:ascii="宋体" w:eastAsia="宋体" w:hAnsi="宋体" w:cs="宋体"/>
          <w:color w:val="333333"/>
          <w:sz w:val="19"/>
          <w:szCs w:val="19"/>
        </w:rPr>
        <w:t>、志愿者管理的内容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规划、组织、领导、控制。</w:t>
      </w: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3D462C" w:rsidRDefault="003D462C" w:rsidP="003D462C">
      <w:pPr>
        <w:spacing w:line="329" w:lineRule="exact"/>
        <w:ind w:right="20"/>
        <w:rPr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8</w:t>
      </w:r>
      <w:r>
        <w:rPr>
          <w:rFonts w:ascii="宋体" w:eastAsia="宋体" w:hAnsi="宋体" w:cs="宋体"/>
          <w:color w:val="333333"/>
          <w:sz w:val="19"/>
          <w:szCs w:val="19"/>
        </w:rPr>
        <w:t>、社会服务机构的资金来源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政府资助、社会捐助、商业交易。</w:t>
      </w: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3D462C" w:rsidRDefault="003D462C" w:rsidP="003D462C">
      <w:pPr>
        <w:spacing w:line="329" w:lineRule="exact"/>
        <w:ind w:right="20"/>
        <w:rPr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9</w:t>
      </w:r>
      <w:r>
        <w:rPr>
          <w:rFonts w:ascii="宋体" w:eastAsia="宋体" w:hAnsi="宋体" w:cs="宋体"/>
          <w:color w:val="333333"/>
          <w:sz w:val="19"/>
          <w:szCs w:val="19"/>
        </w:rPr>
        <w:t>、社会服务机构的财务预算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单项预算法、方案预算法、零基预算法。</w:t>
      </w: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3D462C" w:rsidRDefault="003D462C" w:rsidP="003D462C">
      <w:pPr>
        <w:spacing w:line="329" w:lineRule="exact"/>
        <w:ind w:right="2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10</w:t>
      </w:r>
      <w:r>
        <w:rPr>
          <w:rFonts w:ascii="宋体" w:eastAsia="宋体" w:hAnsi="宋体" w:cs="宋体"/>
          <w:color w:val="333333"/>
          <w:sz w:val="19"/>
          <w:szCs w:val="19"/>
        </w:rPr>
        <w:t>、社会捐助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个人捐款动机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个人需要、外界影响、利他动机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、企业捐款动机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市场营销、公共关系、自我利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益、税法策略、社会联谊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3D462C" w:rsidRDefault="003D462C" w:rsidP="003D462C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11</w:t>
      </w:r>
      <w:r>
        <w:rPr>
          <w:rFonts w:ascii="宋体" w:eastAsia="宋体" w:hAnsi="宋体" w:cs="宋体"/>
          <w:color w:val="333333"/>
          <w:sz w:val="19"/>
          <w:szCs w:val="19"/>
        </w:rPr>
        <w:t>、筹资方法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项目申请、私人恳请与电话募捐、特别事件筹资活动。</w:t>
      </w:r>
    </w:p>
    <w:p w:rsidR="003D462C" w:rsidRDefault="003D462C" w:rsidP="003D462C">
      <w:pPr>
        <w:spacing w:line="74" w:lineRule="exact"/>
        <w:rPr>
          <w:sz w:val="20"/>
          <w:szCs w:val="20"/>
        </w:rPr>
      </w:pPr>
    </w:p>
    <w:p w:rsidR="003D462C" w:rsidRDefault="003D462C" w:rsidP="003D462C">
      <w:pPr>
        <w:spacing w:line="295" w:lineRule="exact"/>
        <w:ind w:right="60"/>
        <w:rPr>
          <w:color w:val="333333"/>
        </w:rPr>
      </w:pPr>
      <w:r>
        <w:rPr>
          <w:rFonts w:eastAsia="Times New Roman"/>
          <w:color w:val="333333"/>
        </w:rPr>
        <w:t>12</w:t>
      </w:r>
      <w:r>
        <w:rPr>
          <w:rFonts w:ascii="宋体" w:eastAsia="宋体" w:hAnsi="宋体" w:cs="宋体"/>
          <w:color w:val="333333"/>
          <w:sz w:val="19"/>
          <w:szCs w:val="19"/>
        </w:rPr>
        <w:t>、 社会服务机构公信力的体现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多元交代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财政交代、政治交代、专业交代、服务交代、行政交代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eastAsia="Times New Roman"/>
          <w:color w:val="333333"/>
        </w:rPr>
        <w:t xml:space="preserve"> </w:t>
      </w:r>
    </w:p>
    <w:p w:rsidR="003D462C" w:rsidRDefault="003D462C" w:rsidP="003D462C">
      <w:pPr>
        <w:spacing w:line="295" w:lineRule="exact"/>
        <w:ind w:right="60"/>
        <w:rPr>
          <w:sz w:val="20"/>
          <w:szCs w:val="20"/>
        </w:rPr>
      </w:pPr>
      <w:r>
        <w:rPr>
          <w:rFonts w:eastAsia="Times New Roman"/>
          <w:color w:val="333333"/>
        </w:rPr>
        <w:t>13</w:t>
      </w:r>
      <w:r>
        <w:rPr>
          <w:rFonts w:ascii="宋体" w:eastAsia="宋体" w:hAnsi="宋体" w:cs="宋体"/>
          <w:color w:val="333333"/>
          <w:sz w:val="19"/>
          <w:szCs w:val="19"/>
        </w:rPr>
        <w:t>、 社会服务机构公信力评估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资金合理使用和运作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服务和活动与组织使命和宗旨保持一致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财务与信息的透明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规范的治理结构。</w:t>
      </w:r>
    </w:p>
    <w:p w:rsidR="003D462C" w:rsidRDefault="003D462C" w:rsidP="003D462C">
      <w:pPr>
        <w:spacing w:line="99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第九章 社会工作督导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279" w:lineRule="exact"/>
        <w:ind w:right="420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、督导对象与督导者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督导对象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新进机构或经验不足的社会工作者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机构实习生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机构非正式人员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、督导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资深的社会工作者担任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295" w:lineRule="exact"/>
        <w:ind w:right="4540"/>
        <w:rPr>
          <w:sz w:val="20"/>
          <w:szCs w:val="20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、社会工作督导的类型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师徒式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训练式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管理式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咨询式。</w:t>
      </w:r>
      <w:r>
        <w:rPr>
          <w:rFonts w:eastAsia="Times New Roman"/>
          <w:color w:val="333333"/>
        </w:rPr>
        <w:t xml:space="preserve"> 3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、社会工作督导的内容和方式</w:t>
      </w:r>
    </w:p>
    <w:p w:rsidR="003D462C" w:rsidRDefault="003D462C" w:rsidP="003D462C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7520"/>
        <w:gridCol w:w="30"/>
      </w:tblGrid>
      <w:tr w:rsidR="003D462C" w:rsidTr="00BE48D8">
        <w:trPr>
          <w:trHeight w:val="364"/>
        </w:trPr>
        <w:tc>
          <w:tcPr>
            <w:tcW w:w="242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社会工作者的招募和选择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安置和引导工作人员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工作计划和分配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工作授权、协调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行政性督导内容</w:t>
            </w: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和分配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工作督导、总结和评估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督导者扮演多种角色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缓冲器、倡导者、机构变迁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推动人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76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教导有关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服务对象群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的知识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教导有关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社会服务机构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的知识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教导有关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社会问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教育性督导内容</w:t>
            </w: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题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的知识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教导有关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工作过程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的知识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教导有关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工作者本身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的知识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提供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专业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建议和咨询</w:t>
            </w:r>
            <w:r>
              <w:rPr>
                <w:rFonts w:eastAsia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27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1"/>
                <w:szCs w:val="11"/>
              </w:rPr>
            </w:pPr>
          </w:p>
        </w:tc>
        <w:tc>
          <w:tcPr>
            <w:tcW w:w="7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24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支持性督导内容</w:t>
            </w: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压力来源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服务对象、工作、服务机构行政、社会对社会工作认识的压力。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24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vMerge w:val="restart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主要内容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疏导情绪、给予关怀、发现成效、寻求满足。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vMerge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42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①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根据志愿者需求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协助建立适当的服务价值和工作态度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；②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把握志愿者督导和志愿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者双方的角色职责和期待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建立彼此信任的督导关系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；③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确保志愿者在社会服务机构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社会工作者督导志愿者</w:t>
            </w: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目标和行政程序内提供服务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做好沟通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；④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切实做好工作安排和分配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随时帮助补充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志愿者的服务技术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；⑤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表扬志愿者优良的工作表现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对不良工作表现要给予建设性的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批评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；⑥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妥善处理志愿者的冲突问题。</w:t>
            </w: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  <w:tr w:rsidR="003D462C" w:rsidTr="00BE48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462C" w:rsidRDefault="003D462C" w:rsidP="00BE48D8">
            <w:pPr>
              <w:rPr>
                <w:sz w:val="1"/>
                <w:szCs w:val="1"/>
              </w:rPr>
            </w:pPr>
          </w:p>
        </w:tc>
      </w:tr>
    </w:tbl>
    <w:p w:rsidR="003D462C" w:rsidRDefault="003D462C" w:rsidP="003D462C">
      <w:pPr>
        <w:spacing w:line="188" w:lineRule="exact"/>
        <w:rPr>
          <w:sz w:val="20"/>
          <w:szCs w:val="20"/>
        </w:rPr>
      </w:pPr>
    </w:p>
    <w:p w:rsidR="003D462C" w:rsidRDefault="003D462C" w:rsidP="003D462C">
      <w:pPr>
        <w:spacing w:line="337" w:lineRule="exact"/>
        <w:ind w:right="1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、社会工作督导过程中的技巧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社会工作督导的技巧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督导的相互契合技巧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订立协议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开展话题的技巧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同感与分享感受的技巧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要求被督导者 努力工作和分享资料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督导会谈的结束技巧。 </w:t>
      </w:r>
    </w:p>
    <w:p w:rsidR="003D462C" w:rsidRDefault="003D462C" w:rsidP="003D462C">
      <w:pPr>
        <w:spacing w:line="337" w:lineRule="exact"/>
        <w:ind w:right="12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、社会工作督导方式中的技巧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个别督导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聆听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补充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提出疑问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进行评价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提出建议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、团体督导、同辈督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导。</w:t>
      </w:r>
    </w:p>
    <w:p w:rsidR="003D462C" w:rsidRDefault="003D462C" w:rsidP="003D462C">
      <w:pPr>
        <w:spacing w:line="227" w:lineRule="exact"/>
        <w:rPr>
          <w:sz w:val="20"/>
          <w:szCs w:val="20"/>
        </w:rPr>
      </w:pPr>
    </w:p>
    <w:p w:rsidR="003D462C" w:rsidRDefault="003D462C" w:rsidP="003D462C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第十章 社会工作研究</w:t>
      </w:r>
    </w:p>
    <w:p w:rsidR="003D462C" w:rsidRDefault="003D462C" w:rsidP="003D462C">
      <w:pPr>
        <w:spacing w:line="97" w:lineRule="exact"/>
        <w:rPr>
          <w:sz w:val="20"/>
          <w:szCs w:val="20"/>
        </w:rPr>
      </w:pPr>
    </w:p>
    <w:p w:rsidR="003D462C" w:rsidRDefault="003D462C" w:rsidP="003D462C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、社会工作研究方法论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实证主义方法论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诠释主义方法论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批判主义方法论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</w:p>
    <w:p w:rsidR="003D462C" w:rsidRDefault="003D462C" w:rsidP="003D462C">
      <w:pPr>
        <w:spacing w:line="74" w:lineRule="exact"/>
        <w:rPr>
          <w:sz w:val="20"/>
          <w:szCs w:val="20"/>
        </w:rPr>
      </w:pPr>
    </w:p>
    <w:p w:rsidR="003D462C" w:rsidRDefault="003D462C" w:rsidP="003D462C">
      <w:pPr>
        <w:rPr>
          <w:sz w:val="20"/>
          <w:szCs w:val="20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、研究范式</w:t>
      </w:r>
    </w:p>
    <w:p w:rsidR="003D462C" w:rsidRDefault="003D462C" w:rsidP="003D462C">
      <w:pPr>
        <w:spacing w:line="1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4640"/>
        <w:gridCol w:w="3240"/>
      </w:tblGrid>
      <w:tr w:rsidR="003D462C" w:rsidTr="00BE48D8">
        <w:trPr>
          <w:trHeight w:val="364"/>
        </w:trPr>
        <w:tc>
          <w:tcPr>
            <w:tcW w:w="206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研究范式</w:t>
            </w:r>
          </w:p>
        </w:tc>
        <w:tc>
          <w:tcPr>
            <w:tcW w:w="464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定量研究</w:t>
            </w:r>
          </w:p>
        </w:tc>
        <w:tc>
          <w:tcPr>
            <w:tcW w:w="324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定性研究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  <w:tr w:rsidR="003D462C" w:rsidTr="00BE48D8">
        <w:trPr>
          <w:trHeight w:val="342"/>
        </w:trPr>
        <w:tc>
          <w:tcPr>
            <w:tcW w:w="206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研究者与研究对象</w:t>
            </w:r>
          </w:p>
        </w:tc>
        <w:tc>
          <w:tcPr>
            <w:tcW w:w="46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研究者为客体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排除影响</w:t>
            </w:r>
          </w:p>
        </w:tc>
        <w:tc>
          <w:tcPr>
            <w:tcW w:w="32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两者关系融洽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  <w:tr w:rsidR="003D462C" w:rsidTr="00BE48D8">
        <w:trPr>
          <w:trHeight w:val="342"/>
        </w:trPr>
        <w:tc>
          <w:tcPr>
            <w:tcW w:w="206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研究和理论关系</w:t>
            </w:r>
          </w:p>
        </w:tc>
        <w:tc>
          <w:tcPr>
            <w:tcW w:w="46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验证理论</w:t>
            </w:r>
          </w:p>
        </w:tc>
        <w:tc>
          <w:tcPr>
            <w:tcW w:w="32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发展、完善理论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</w:tbl>
    <w:p w:rsidR="003D462C" w:rsidRDefault="003D462C" w:rsidP="003D462C">
      <w:pPr>
        <w:sectPr w:rsidR="003D462C">
          <w:pgSz w:w="11900" w:h="16840"/>
          <w:pgMar w:top="561" w:right="980" w:bottom="694" w:left="980" w:header="0" w:footer="0" w:gutter="0"/>
          <w:cols w:space="720" w:equalWidth="0">
            <w:col w:w="9940"/>
          </w:cols>
        </w:sectPr>
      </w:pPr>
    </w:p>
    <w:p w:rsidR="003D462C" w:rsidRDefault="003D462C" w:rsidP="003D462C">
      <w:pPr>
        <w:spacing w:line="1" w:lineRule="exact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4640"/>
        <w:gridCol w:w="3240"/>
      </w:tblGrid>
      <w:tr w:rsidR="003D462C" w:rsidTr="00BE48D8">
        <w:trPr>
          <w:trHeight w:val="353"/>
        </w:trPr>
        <w:tc>
          <w:tcPr>
            <w:tcW w:w="206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研究策略</w:t>
            </w:r>
          </w:p>
        </w:tc>
        <w:tc>
          <w:tcPr>
            <w:tcW w:w="464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假设演绎法、结论的精确性</w:t>
            </w:r>
          </w:p>
        </w:tc>
        <w:tc>
          <w:tcPr>
            <w:tcW w:w="324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设计灵活、归纳法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  <w:tr w:rsidR="003D462C" w:rsidTr="00BE48D8">
        <w:trPr>
          <w:trHeight w:val="342"/>
        </w:trPr>
        <w:tc>
          <w:tcPr>
            <w:tcW w:w="206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资料特性</w:t>
            </w:r>
          </w:p>
        </w:tc>
        <w:tc>
          <w:tcPr>
            <w:tcW w:w="46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统计数据和变量</w:t>
            </w:r>
          </w:p>
        </w:tc>
        <w:tc>
          <w:tcPr>
            <w:tcW w:w="32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描述性文字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  <w:tr w:rsidR="003D462C" w:rsidTr="00BE48D8">
        <w:trPr>
          <w:trHeight w:val="342"/>
        </w:trPr>
        <w:tc>
          <w:tcPr>
            <w:tcW w:w="206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结果范围</w:t>
            </w:r>
          </w:p>
        </w:tc>
        <w:tc>
          <w:tcPr>
            <w:tcW w:w="46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较强可推广性</w:t>
            </w:r>
          </w:p>
        </w:tc>
        <w:tc>
          <w:tcPr>
            <w:tcW w:w="32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个别性和特殊性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  <w:tr w:rsidR="003D462C" w:rsidTr="00BE48D8">
        <w:trPr>
          <w:trHeight w:val="342"/>
        </w:trPr>
        <w:tc>
          <w:tcPr>
            <w:tcW w:w="206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适用场景</w:t>
            </w:r>
          </w:p>
        </w:tc>
        <w:tc>
          <w:tcPr>
            <w:tcW w:w="46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有大量数据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收集资料容易、探讨变量关系</w:t>
            </w:r>
          </w:p>
        </w:tc>
        <w:tc>
          <w:tcPr>
            <w:tcW w:w="3240" w:type="dxa"/>
            <w:tcBorders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对个别事物进行细致动态描述</w:t>
            </w:r>
          </w:p>
        </w:tc>
      </w:tr>
      <w:tr w:rsidR="003D462C" w:rsidTr="00BE48D8">
        <w:trPr>
          <w:trHeight w:val="161"/>
        </w:trPr>
        <w:tc>
          <w:tcPr>
            <w:tcW w:w="20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3D462C" w:rsidRDefault="003D462C" w:rsidP="00BE48D8">
            <w:pPr>
              <w:rPr>
                <w:sz w:val="14"/>
                <w:szCs w:val="14"/>
              </w:rPr>
            </w:pPr>
          </w:p>
        </w:tc>
      </w:tr>
    </w:tbl>
    <w:p w:rsidR="003D462C" w:rsidRDefault="003D462C" w:rsidP="003D462C">
      <w:pPr>
        <w:spacing w:line="188" w:lineRule="exact"/>
        <w:rPr>
          <w:sz w:val="20"/>
          <w:szCs w:val="20"/>
        </w:rPr>
      </w:pPr>
    </w:p>
    <w:p w:rsidR="003D462C" w:rsidRDefault="003D462C" w:rsidP="003D462C">
      <w:pPr>
        <w:spacing w:line="306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、定量研究的一般过程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研究准备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确定研究主题、建立研究假设、进行研究设计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概念指标操作化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）；②</w:t>
      </w:r>
      <w:r>
        <w:rPr>
          <w:rFonts w:ascii="宋体" w:eastAsia="宋体" w:hAnsi="宋体" w:cs="宋体"/>
          <w:color w:val="333333"/>
          <w:sz w:val="19"/>
          <w:szCs w:val="19"/>
        </w:rPr>
        <w:t>资料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收集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研究分析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资料整理、统计分析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单变量、双变量、多变量关系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），</w:t>
      </w:r>
      <w:r>
        <w:rPr>
          <w:rFonts w:ascii="宋体" w:eastAsia="宋体" w:hAnsi="宋体" w:cs="宋体"/>
          <w:color w:val="333333"/>
          <w:sz w:val="19"/>
          <w:szCs w:val="19"/>
        </w:rPr>
        <w:t>中位数、众数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总结应用。 </w:t>
      </w:r>
    </w:p>
    <w:p w:rsidR="003D462C" w:rsidRDefault="003D462C" w:rsidP="003D462C">
      <w:pPr>
        <w:spacing w:line="306" w:lineRule="exact"/>
        <w:ind w:right="2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、定性研究的一般过程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研究准备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资料收集。整理与分析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总结应用。</w:t>
      </w:r>
    </w:p>
    <w:p w:rsidR="003D462C" w:rsidRDefault="003D462C" w:rsidP="003D462C">
      <w:pPr>
        <w:spacing w:line="64" w:lineRule="exact"/>
        <w:rPr>
          <w:sz w:val="20"/>
          <w:szCs w:val="20"/>
        </w:rPr>
      </w:pPr>
    </w:p>
    <w:p w:rsidR="003D462C" w:rsidRDefault="003D462C" w:rsidP="003D462C">
      <w:pPr>
        <w:spacing w:line="295" w:lineRule="exact"/>
        <w:ind w:right="16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、问卷调查</w:t>
      </w:r>
      <w:r>
        <w:rPr>
          <w:rFonts w:eastAsia="Times New Roman"/>
          <w:color w:val="333333"/>
        </w:rPr>
        <w:t xml:space="preserve">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问卷结构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标题、封面信、指导语、问题和答案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态度、行为和状态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、编码等组成部分。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问卷设计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问卷要有可信度与效力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考虑研究的目的或研究类型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以回答者为视角为主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；④</w:t>
      </w:r>
      <w:r>
        <w:rPr>
          <w:rFonts w:ascii="宋体" w:eastAsia="宋体" w:hAnsi="宋体" w:cs="宋体"/>
          <w:color w:val="333333"/>
          <w:sz w:val="19"/>
          <w:szCs w:val="19"/>
        </w:rPr>
        <w:t>保证操作可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行性。 </w:t>
      </w:r>
    </w:p>
    <w:p w:rsidR="003D462C" w:rsidRDefault="003D462C" w:rsidP="003D462C">
      <w:pPr>
        <w:spacing w:line="295" w:lineRule="exact"/>
        <w:ind w:right="160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、实验研究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三对要素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自变量与因变量、实验组和控制组、前测和后测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常用类型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标准实验设计、准实验设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计、实地实验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3D462C" w:rsidRPr="003D462C" w:rsidRDefault="003D462C" w:rsidP="003D462C">
      <w:pPr>
        <w:spacing w:line="300" w:lineRule="exact"/>
        <w:rPr>
          <w:sz w:val="20"/>
          <w:szCs w:val="20"/>
        </w:rPr>
      </w:pPr>
    </w:p>
    <w:p w:rsidR="003D462C" w:rsidRDefault="003D462C" w:rsidP="003D462C">
      <w:pPr>
        <w:spacing w:line="328" w:lineRule="exact"/>
        <w:ind w:right="20"/>
        <w:rPr>
          <w:color w:val="333333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、观察法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参与观察与非参与观察、结构式观察与非结构式观察、直接观察和间接观察。</w:t>
      </w:r>
      <w:r>
        <w:rPr>
          <w:rFonts w:eastAsia="Times New Roman"/>
          <w:color w:val="333333"/>
        </w:rPr>
        <w:t xml:space="preserve"> </w:t>
      </w:r>
    </w:p>
    <w:p w:rsidR="003D462C" w:rsidRDefault="003D462C" w:rsidP="003D462C">
      <w:pPr>
        <w:spacing w:line="328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、访谈法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直接访问与间接访问、个别访问与集体访问、结构式访问与无结构式访问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形式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非正式会话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式访问、引导式访问、标准化开放式访问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、深度访谈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反复的面对面交往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、焦点小组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  <w:sz w:val="21"/>
          <w:szCs w:val="21"/>
        </w:rPr>
        <w:t>10</w:t>
      </w:r>
      <w:r>
        <w:rPr>
          <w:rFonts w:ascii="宋体" w:eastAsia="宋体" w:hAnsi="宋体" w:cs="宋体"/>
          <w:color w:val="333333"/>
          <w:sz w:val="19"/>
          <w:szCs w:val="19"/>
        </w:rPr>
        <w:t>人左右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不批评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 w:rsidP="003D462C">
      <w:pPr>
        <w:spacing w:line="328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、个案研究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凸显研究的</w:t>
      </w:r>
      <w:r>
        <w:rPr>
          <w:rFonts w:eastAsia="Times New Roman"/>
          <w:color w:val="333333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z w:val="19"/>
          <w:szCs w:val="19"/>
        </w:rPr>
        <w:t>对象</w:t>
      </w:r>
      <w:r>
        <w:rPr>
          <w:rFonts w:eastAsia="Times New Roman"/>
          <w:color w:val="333333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z w:val="19"/>
          <w:szCs w:val="19"/>
        </w:rPr>
        <w:t>维度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强调对象个别性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技术和资料多元化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研究步骤不甚严格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详尽深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一般步骤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确定研究对象、获准进入、取得信任建立友善关系、收集资料、整理分析资料、报告研究结 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拓展个案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主要维度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从观察者拓展到参与者、拓展对于时空的观察、从过程拓展到力量、拓展理论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3D462C" w:rsidRDefault="003D462C" w:rsidP="003D462C">
      <w:pPr>
        <w:spacing w:line="328" w:lineRule="exact"/>
        <w:ind w:right="20"/>
        <w:rPr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、非接触性研究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现存统计资料分析、比较法、内容分析法。</w:t>
      </w: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3D462C" w:rsidRDefault="003D462C" w:rsidP="003D462C">
      <w:pPr>
        <w:spacing w:line="328" w:lineRule="exact"/>
        <w:ind w:right="2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7</w:t>
      </w:r>
      <w:r>
        <w:rPr>
          <w:rFonts w:ascii="宋体" w:eastAsia="宋体" w:hAnsi="宋体" w:cs="宋体"/>
          <w:color w:val="333333"/>
          <w:sz w:val="19"/>
          <w:szCs w:val="19"/>
        </w:rPr>
        <w:t>、行动研究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注重实务导向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研究场域与实务场域合一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重视民主参与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兼具批判建构功能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按照参与研究的成员划分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行动研究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种模式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合作模式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研究者与实务工作者共同合作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支持模式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专家咨询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 独立模式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实际工作者独立研究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3D462C" w:rsidRPr="003D462C" w:rsidRDefault="003D462C" w:rsidP="003D462C">
      <w:pPr>
        <w:spacing w:line="327" w:lineRule="exact"/>
        <w:rPr>
          <w:sz w:val="20"/>
          <w:szCs w:val="20"/>
        </w:rPr>
        <w:sectPr w:rsidR="003D462C" w:rsidRPr="003D462C">
          <w:pgSz w:w="11900" w:h="16840"/>
          <w:pgMar w:top="689" w:right="1000" w:bottom="1440" w:left="980" w:header="0" w:footer="0" w:gutter="0"/>
          <w:cols w:space="720" w:equalWidth="0">
            <w:col w:w="9920"/>
          </w:cols>
        </w:sectPr>
      </w:pPr>
    </w:p>
    <w:p w:rsidR="003D462C" w:rsidRPr="003D462C" w:rsidRDefault="003D462C" w:rsidP="003D462C">
      <w:pPr>
        <w:spacing w:line="327" w:lineRule="exact"/>
        <w:ind w:right="20"/>
        <w:rPr>
          <w:sz w:val="20"/>
          <w:szCs w:val="20"/>
        </w:rPr>
        <w:sectPr w:rsidR="003D462C" w:rsidRPr="003D462C">
          <w:pgSz w:w="11900" w:h="16840"/>
          <w:pgMar w:top="597" w:right="980" w:bottom="1088" w:left="980" w:header="0" w:footer="0" w:gutter="0"/>
          <w:cols w:space="720" w:equalWidth="0">
            <w:col w:w="9940"/>
          </w:cols>
        </w:sectPr>
      </w:pPr>
    </w:p>
    <w:p w:rsidR="000B1740" w:rsidRDefault="000B1740" w:rsidP="003D462C">
      <w:pPr>
        <w:rPr>
          <w:sz w:val="20"/>
          <w:szCs w:val="20"/>
        </w:rPr>
      </w:pPr>
      <w:bookmarkStart w:id="4" w:name="page3"/>
      <w:bookmarkStart w:id="5" w:name="page2"/>
      <w:bookmarkEnd w:id="4"/>
      <w:bookmarkEnd w:id="5"/>
    </w:p>
    <w:sectPr w:rsidR="000B1740" w:rsidSect="003D462C">
      <w:pgSz w:w="11900" w:h="16840"/>
      <w:pgMar w:top="597" w:right="980" w:bottom="1088" w:left="98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pitch w:val="variable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40"/>
    <w:rsid w:val="000B1740"/>
    <w:rsid w:val="003D462C"/>
    <w:rsid w:val="00F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 Jia</cp:lastModifiedBy>
  <cp:revision>2</cp:revision>
  <dcterms:created xsi:type="dcterms:W3CDTF">2023-06-04T15:11:00Z</dcterms:created>
  <dcterms:modified xsi:type="dcterms:W3CDTF">2023-06-04T15:11:00Z</dcterms:modified>
</cp:coreProperties>
</file>